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gathering initial impressions of a college or university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and determining overall ease with which prospective students can find information about academic programs and the admissions process.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Participants will think out loud as they complete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experience of finding and learning about an academic program of interest?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 able to find and understand the admissions requirements?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 able to find where they can schedule a visit to the school?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Overall, what are participants’ impressions of the user experience?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60" w:line="259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option best describes your employment situation?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work full-time, do</w:t>
      </w:r>
      <w:r w:rsidDel="00000000" w:rsidR="00000000" w:rsidRPr="00000000">
        <w:rPr>
          <w:sz w:val="24"/>
          <w:szCs w:val="24"/>
          <w:rtl w:val="0"/>
        </w:rPr>
        <w:t xml:space="preserve"> NOT go to school, and I have no plans to go to school.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work full-time, and I am currently a student. [Accept] 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work full-time, and I plan to become a student within the next 6 months. [Accept] 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work part-time, do NOT go to school, and I have no plans to go to school.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work part-time, and I am currently a student. [Accept] 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work part-time, and I plan to become a student within the next 6 months. [Accept]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unemployed, and I do NOT have plans to go to school.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unemployed, and I plan to become a student within the next 6 months. [Accept]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60" w:line="259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type of student are you or do you plan to become within the next 6 months?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igh-school or GED student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college student enrolled in continuing education or recreational classes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Community college student enrolled in a degree program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Undergraduate student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Graduate student [Accept]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160" w:line="259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URL (where participants start the study):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Download and install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INTRODUCTION: </w:t>
      </w:r>
      <w:r w:rsidDel="00000000" w:rsidR="00000000" w:rsidRPr="00000000">
        <w:rPr>
          <w:sz w:val="24"/>
          <w:szCs w:val="24"/>
          <w:rtl w:val="0"/>
        </w:rPr>
        <w:t xml:space="preserve">You are currently researching potential schools to attend and are interest</w:t>
      </w:r>
      <w:r w:rsidDel="00000000" w:rsidR="00000000" w:rsidRPr="00000000">
        <w:rPr>
          <w:sz w:val="24"/>
          <w:szCs w:val="24"/>
          <w:rtl w:val="0"/>
        </w:rPr>
        <w:t xml:space="preserve">ed</w:t>
      </w:r>
      <w:r w:rsidDel="00000000" w:rsidR="00000000" w:rsidRPr="00000000">
        <w:rPr>
          <w:sz w:val="24"/>
          <w:szCs w:val="24"/>
          <w:rtl w:val="0"/>
        </w:rPr>
        <w:t xml:space="preserve"> in learning more about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 of institution]</w:t>
      </w:r>
      <w:r w:rsidDel="00000000" w:rsidR="00000000" w:rsidRPr="00000000">
        <w:rPr>
          <w:sz w:val="24"/>
          <w:szCs w:val="24"/>
          <w:rtl w:val="0"/>
        </w:rPr>
        <w:t xml:space="preserve"> by visiting their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Without leaving the homepage, what are your initial impressions of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 name]</w:t>
      </w:r>
      <w:r w:rsidDel="00000000" w:rsidR="00000000" w:rsidRPr="00000000">
        <w:rPr>
          <w:sz w:val="24"/>
          <w:szCs w:val="24"/>
          <w:rtl w:val="0"/>
        </w:rPr>
        <w:t xml:space="preserve">? Explain your answer.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something you’d be interested in majoring in that is offered by the school. Move on to the next task when you’re done.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 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find something you’d be interested in majoring in, was it easier, more difficult, or exactly as easy as you expected? Explain your answer.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easier than I expected.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exactly as easy as / as difficult as I expected.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more difficult than I expected.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name of a required course for an academic program you are interested in. Move on to the next task when you’re done.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spacing w:after="0" w:before="0" w:line="240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Find what information you would need to provide to the school when applying to this academic program. </w:t>
      </w:r>
      <w:r w:rsidDel="00000000" w:rsidR="00000000" w:rsidRPr="00000000">
        <w:rPr>
          <w:sz w:val="24"/>
          <w:szCs w:val="24"/>
          <w:rtl w:val="0"/>
        </w:rPr>
        <w:t xml:space="preserve">**Stop if asked for personal information or to create an account.**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You’d like to start the program next semester. What is the deadline for applying?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When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look for information about applying to the school, was it easier, more difficult, or exactly as easy as you expected? Explain your answer.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easier than I expected.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exactly as easy as </w:t>
      </w:r>
      <w:r w:rsidDel="00000000" w:rsidR="00000000" w:rsidRPr="00000000">
        <w:rPr>
          <w:sz w:val="24"/>
          <w:szCs w:val="24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as difficult as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 expected.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more difficult than I expected.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where you would schedule a tour of the campus. </w:t>
      </w:r>
      <w:r w:rsidDel="00000000" w:rsidR="00000000" w:rsidRPr="00000000">
        <w:rPr>
          <w:sz w:val="24"/>
          <w:szCs w:val="24"/>
          <w:rtl w:val="0"/>
        </w:rPr>
        <w:t xml:space="preserve">**Stop if asked for personal information or to create an account.**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4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 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be attractive.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Universities and Colleges</w:t>
    </w:r>
    <w:r w:rsidDel="00000000" w:rsidR="00000000" w:rsidRPr="00000000">
      <w:rPr>
        <w:color w:val="548dd4"/>
        <w:sz w:val="44"/>
        <w:szCs w:val="44"/>
        <w:rtl w:val="0"/>
      </w:rPr>
      <w:t xml:space="preserve">: UX Assessment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